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E0B85">
      <w:pPr>
        <w:spacing w:line="55" w:lineRule="exact"/>
      </w:pPr>
    </w:p>
    <w:tbl>
      <w:tblPr>
        <w:tblStyle w:val="4"/>
        <w:tblW w:w="92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235"/>
      </w:tblGrid>
      <w:tr w14:paraId="47591018">
        <w:trPr>
          <w:trHeight w:val="4078" w:hRule="atLeast"/>
        </w:trPr>
        <w:tc>
          <w:tcPr>
            <w:tcW w:w="2975" w:type="dxa"/>
            <w:vAlign w:val="top"/>
          </w:tcPr>
          <w:p w14:paraId="66C6B2C9">
            <w:pPr>
              <w:spacing w:before="172" w:line="3732" w:lineRule="exact"/>
              <w:ind w:firstLine="107"/>
            </w:pPr>
            <w:r>
              <w:rPr>
                <w:position w:val="-74"/>
              </w:rPr>
              <w:drawing>
                <wp:inline distT="0" distB="0" distL="0" distR="0">
                  <wp:extent cx="1791970" cy="2369820"/>
                  <wp:effectExtent l="0" t="0" r="11430" b="1778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4F019C2E">
            <w:pPr>
              <w:pStyle w:val="5"/>
              <w:spacing w:line="259" w:lineRule="auto"/>
              <w:rPr>
                <w:sz w:val="21"/>
              </w:rPr>
            </w:pPr>
          </w:p>
          <w:p w14:paraId="08038F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PingFang SC Semibold" w:hAnsi="PingFang SC Semibold" w:eastAsia="PingFang SC Semibold" w:cs="PingFang SC Semibold"/>
                <w:b/>
                <w:bCs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i w:val="0"/>
                <w:iCs w:val="0"/>
                <w:caps w:val="0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PTSH潜水泵台车（镀锌钢） 设计用于将液压泵从泻湖斜坡下降到最底部。 确保从深度均匀地抽水排水. 由于四个轮子，它很容易降低。 它不会损坏薄膜，并保护泵免受损坏。</w:t>
            </w:r>
          </w:p>
          <w:p w14:paraId="609EBF6C">
            <w:pPr>
              <w:pStyle w:val="5"/>
              <w:spacing w:before="2" w:line="181" w:lineRule="auto"/>
              <w:ind w:left="548" w:right="1302" w:hanging="360"/>
            </w:pPr>
            <w:bookmarkStart w:id="0" w:name="_GoBack"/>
            <w:bookmarkEnd w:id="0"/>
          </w:p>
        </w:tc>
      </w:tr>
      <w:tr w14:paraId="371BB41B">
        <w:trPr>
          <w:trHeight w:val="7174" w:hRule="atLeast"/>
        </w:trPr>
        <w:tc>
          <w:tcPr>
            <w:tcW w:w="2975" w:type="dxa"/>
            <w:vAlign w:val="top"/>
          </w:tcPr>
          <w:p w14:paraId="33755742">
            <w:pPr>
              <w:pStyle w:val="5"/>
              <w:spacing w:line="268" w:lineRule="auto"/>
              <w:rPr>
                <w:sz w:val="21"/>
              </w:rPr>
            </w:pPr>
          </w:p>
          <w:p w14:paraId="03EC55FB">
            <w:pPr>
              <w:pStyle w:val="5"/>
              <w:spacing w:line="268" w:lineRule="auto"/>
              <w:rPr>
                <w:sz w:val="21"/>
              </w:rPr>
            </w:pPr>
          </w:p>
          <w:p w14:paraId="1CCB89A2">
            <w:pPr>
              <w:pStyle w:val="5"/>
              <w:spacing w:line="268" w:lineRule="auto"/>
              <w:rPr>
                <w:sz w:val="21"/>
              </w:rPr>
            </w:pPr>
          </w:p>
          <w:p w14:paraId="24D3271C">
            <w:pPr>
              <w:pStyle w:val="5"/>
              <w:spacing w:line="268" w:lineRule="auto"/>
              <w:rPr>
                <w:sz w:val="21"/>
              </w:rPr>
            </w:pPr>
          </w:p>
          <w:p w14:paraId="283C7D47">
            <w:pPr>
              <w:pStyle w:val="5"/>
              <w:spacing w:line="268" w:lineRule="auto"/>
              <w:rPr>
                <w:sz w:val="21"/>
              </w:rPr>
            </w:pPr>
          </w:p>
          <w:p w14:paraId="4335EA87">
            <w:pPr>
              <w:pStyle w:val="5"/>
              <w:spacing w:line="269" w:lineRule="auto"/>
              <w:rPr>
                <w:sz w:val="21"/>
              </w:rPr>
            </w:pPr>
          </w:p>
          <w:p w14:paraId="54C9BF74">
            <w:pPr>
              <w:spacing w:line="3892" w:lineRule="exact"/>
              <w:ind w:firstLine="107"/>
            </w:pPr>
            <w:r>
              <w:rPr>
                <w:position w:val="-77"/>
              </w:rPr>
              <w:drawing>
                <wp:inline distT="0" distB="0" distL="0" distR="0">
                  <wp:extent cx="1764030" cy="2471420"/>
                  <wp:effectExtent l="0" t="0" r="13970" b="1778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8" cy="24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51209B20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带有潍柴503L发动机的泵站。C.，6NHTB泵，可扩展12m。 吊臂，HP61B潜水液压泵</w:t>
            </w:r>
          </w:p>
          <w:p w14:paraId="27D4FCFA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潜水泵HP61V与液压驱动和斩波。</w:t>
            </w:r>
          </w:p>
          <w:p w14:paraId="7B1C6AD9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泵6nhtb19，辊，带运行干燥系统</w:t>
            </w:r>
          </w:p>
          <w:p w14:paraId="4D85EFDB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(扬程-最高可达180米，容量-最高可达800立方米/小时)</w:t>
            </w:r>
          </w:p>
          <w:p w14:paraId="216B3DA1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液压空气压缩机（3.5l/min，10atm）。</w:t>
            </w:r>
          </w:p>
          <w:p w14:paraId="769D1484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潍柴柴油模块503马力（370千瓦）。</w:t>
            </w:r>
          </w:p>
          <w:p w14:paraId="40AF0022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支架-吸管f150mm的支架，用于工作站（套装-3个。)</w:t>
            </w:r>
          </w:p>
          <w:p w14:paraId="1F1FA98D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吊臂12米，平台用液压绞车</w:t>
            </w:r>
          </w:p>
          <w:p w14:paraId="461F927D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 xml:space="preserve"> 8"带截止阀和附件的吹扫阀</w:t>
            </w:r>
          </w:p>
          <w:p w14:paraId="258BD5B9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油箱1,514升。</w:t>
            </w:r>
          </w:p>
          <w:p w14:paraId="449ED9EF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>2轴平台（最大） 速度可达40公里/小时），停车千斤顶</w:t>
            </w:r>
          </w:p>
          <w:p w14:paraId="683E62AC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 xml:space="preserve"> 螺旋扭曲PVC软管，f150-12米。</w:t>
            </w:r>
          </w:p>
          <w:p w14:paraId="79154301">
            <w:pPr>
              <w:pStyle w:val="5"/>
              <w:spacing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 xml:space="preserve"> 真空抽吸系统。</w:t>
            </w:r>
          </w:p>
          <w:p w14:paraId="35B71326">
            <w:pPr>
              <w:pStyle w:val="5"/>
              <w:spacing w:line="178" w:lineRule="auto"/>
              <w:ind w:left="188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3"/>
                <w:w w:val="96"/>
                <w:sz w:val="24"/>
                <w:szCs w:val="24"/>
              </w:rPr>
              <w:t xml:space="preserve"> 照明-3灯笼。</w:t>
            </w:r>
          </w:p>
        </w:tc>
      </w:tr>
    </w:tbl>
    <w:p w14:paraId="1F15DE9B">
      <w:pPr>
        <w:rPr>
          <w:rFonts w:ascii="Arial"/>
          <w:sz w:val="21"/>
        </w:rPr>
      </w:pPr>
    </w:p>
    <w:p w14:paraId="30AD241C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39"/>
          <w:pgMar w:top="843" w:right="36" w:bottom="1358" w:left="1589" w:header="267" w:footer="567" w:gutter="0"/>
          <w:cols w:space="720" w:num="1"/>
        </w:sectPr>
      </w:pPr>
    </w:p>
    <w:p w14:paraId="21689669">
      <w:pPr>
        <w:spacing w:before="48"/>
      </w:pPr>
    </w:p>
    <w:tbl>
      <w:tblPr>
        <w:tblStyle w:val="4"/>
        <w:tblW w:w="92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235"/>
      </w:tblGrid>
      <w:tr w14:paraId="0BDF8FCD">
        <w:trPr>
          <w:trHeight w:val="4928" w:hRule="atLeast"/>
        </w:trPr>
        <w:tc>
          <w:tcPr>
            <w:tcW w:w="2975" w:type="dxa"/>
            <w:vAlign w:val="top"/>
          </w:tcPr>
          <w:p w14:paraId="78959268">
            <w:pPr>
              <w:pStyle w:val="5"/>
              <w:spacing w:line="247" w:lineRule="auto"/>
              <w:rPr>
                <w:sz w:val="21"/>
              </w:rPr>
            </w:pPr>
          </w:p>
          <w:p w14:paraId="7412E572">
            <w:pPr>
              <w:pStyle w:val="5"/>
              <w:spacing w:line="247" w:lineRule="auto"/>
              <w:rPr>
                <w:sz w:val="21"/>
              </w:rPr>
            </w:pPr>
          </w:p>
          <w:p w14:paraId="2D1CB210">
            <w:pPr>
              <w:spacing w:line="3897" w:lineRule="exact"/>
              <w:ind w:firstLine="127"/>
            </w:pPr>
            <w:r>
              <w:rPr>
                <w:position w:val="-77"/>
              </w:rPr>
              <w:drawing>
                <wp:inline distT="0" distB="0" distL="0" distR="0">
                  <wp:extent cx="1759585" cy="2474595"/>
                  <wp:effectExtent l="0" t="0" r="18415" b="14605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625" cy="24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6D9298F8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R27M软管输送机</w:t>
            </w:r>
          </w:p>
          <w:p w14:paraId="16701CA0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容量10"-1000m</w:t>
            </w:r>
          </w:p>
          <w:p w14:paraId="094F18EB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1轴平台</w:t>
            </w:r>
          </w:p>
          <w:p w14:paraId="1376CB8E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2挤压辊在前面-允许更彻底</w:t>
            </w:r>
          </w:p>
          <w:p w14:paraId="10652A82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在软管卷取过程中，粪便残渣的挤压和更紧密的缠绕到输送线圈上。</w:t>
            </w:r>
          </w:p>
          <w:p w14:paraId="7085DD12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 xml:space="preserve"> 它用允许拖拉机司机视觉地控制过程的一个不对称的系统装备</w:t>
            </w:r>
          </w:p>
          <w:p w14:paraId="5D265278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在运动中把软管缠绕到线轴上。</w:t>
            </w:r>
          </w:p>
          <w:p w14:paraId="5C35288B">
            <w:pPr>
              <w:pStyle w:val="5"/>
              <w:spacing w:before="23" w:line="204" w:lineRule="auto"/>
              <w:ind w:left="550" w:right="340" w:hanging="362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有一个保护壳尾灯。</w:t>
            </w:r>
          </w:p>
          <w:p w14:paraId="537685BD">
            <w:pPr>
              <w:pStyle w:val="5"/>
              <w:spacing w:before="23" w:line="204" w:lineRule="auto"/>
              <w:ind w:left="550" w:right="340" w:hanging="362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6"/>
                <w:sz w:val="24"/>
                <w:szCs w:val="24"/>
              </w:rPr>
              <w:t>液压马达用于旋转线圈。</w:t>
            </w:r>
          </w:p>
        </w:tc>
      </w:tr>
      <w:tr w14:paraId="050C9904">
        <w:trPr>
          <w:trHeight w:val="4247" w:hRule="atLeast"/>
        </w:trPr>
        <w:tc>
          <w:tcPr>
            <w:tcW w:w="2975" w:type="dxa"/>
            <w:vAlign w:val="top"/>
          </w:tcPr>
          <w:p w14:paraId="535C75B4">
            <w:pPr>
              <w:spacing w:before="155" w:line="3892" w:lineRule="exact"/>
              <w:ind w:firstLine="227"/>
            </w:pPr>
            <w:r>
              <w:rPr>
                <w:position w:val="-77"/>
              </w:rPr>
              <w:drawing>
                <wp:inline distT="0" distB="0" distL="0" distR="0">
                  <wp:extent cx="1683385" cy="2471420"/>
                  <wp:effectExtent l="0" t="0" r="18415" b="1778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70" cy="247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4FF32D1A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BIOFLEX TPU主软管</w:t>
            </w:r>
          </w:p>
          <w:p w14:paraId="71D2B23B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</w:p>
          <w:p w14:paraId="72A440A5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制造材料是热塑性聚氨酯（TPU）。</w:t>
            </w:r>
          </w:p>
          <w:p w14:paraId="15D4D900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直径–8英寸(203毫米)</w:t>
            </w:r>
          </w:p>
          <w:p w14:paraId="43C01305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软管卷的重量kg/m-2.6。</w:t>
            </w:r>
          </w:p>
          <w:p w14:paraId="716A85FD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壁厚–3.6-4.1</w:t>
            </w:r>
          </w:p>
          <w:p w14:paraId="18702E69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工作压力为16atm。</w:t>
            </w:r>
          </w:p>
          <w:p w14:paraId="4878C3EF">
            <w:pPr>
              <w:pStyle w:val="5"/>
              <w:spacing w:before="1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爆破压力高达45巴。</w:t>
            </w:r>
          </w:p>
          <w:p w14:paraId="0F07E361">
            <w:pPr>
              <w:pStyle w:val="5"/>
              <w:spacing w:before="1" w:line="180" w:lineRule="auto"/>
              <w:ind w:left="543" w:right="477" w:hanging="355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4"/>
                <w:position w:val="-5"/>
                <w:sz w:val="24"/>
                <w:szCs w:val="24"/>
              </w:rPr>
              <w:t>环境温度的影响是从-60到+80度。</w:t>
            </w:r>
          </w:p>
        </w:tc>
      </w:tr>
      <w:tr w14:paraId="7F108DA2">
        <w:trPr>
          <w:trHeight w:val="4434" w:hRule="atLeast"/>
        </w:trPr>
        <w:tc>
          <w:tcPr>
            <w:tcW w:w="2975" w:type="dxa"/>
            <w:vAlign w:val="top"/>
          </w:tcPr>
          <w:p w14:paraId="652F62D1">
            <w:pPr>
              <w:pStyle w:val="5"/>
              <w:spacing w:line="243" w:lineRule="auto"/>
              <w:rPr>
                <w:sz w:val="21"/>
              </w:rPr>
            </w:pPr>
          </w:p>
          <w:p w14:paraId="1D509F32">
            <w:pPr>
              <w:spacing w:line="3898" w:lineRule="exact"/>
              <w:ind w:firstLine="227"/>
            </w:pPr>
            <w:r>
              <w:rPr>
                <w:position w:val="-77"/>
              </w:rPr>
              <w:drawing>
                <wp:inline distT="0" distB="0" distL="0" distR="0">
                  <wp:extent cx="1683385" cy="2474595"/>
                  <wp:effectExtent l="0" t="0" r="18415" b="14605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70" cy="24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1DA9E7FB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拖曳式BIOFLEX TPU软管</w:t>
            </w:r>
          </w:p>
          <w:p w14:paraId="2E846391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</w:p>
          <w:p w14:paraId="29EAF499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制造材料是热塑性聚氨酯(TPU)。</w:t>
            </w:r>
          </w:p>
          <w:p w14:paraId="729AEE86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直径为6"或152mm。</w:t>
            </w:r>
          </w:p>
          <w:p w14:paraId="1E21556A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软管线圈kg/m的重量为2.25。</w:t>
            </w:r>
          </w:p>
          <w:p w14:paraId="1D984B83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壁厚为4.3mm。</w:t>
            </w:r>
          </w:p>
          <w:p w14:paraId="656CB662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工作压力为14个大气压。</w:t>
            </w:r>
          </w:p>
          <w:p w14:paraId="70A05844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 xml:space="preserve"> 爆破压力高达30巴。</w:t>
            </w:r>
          </w:p>
          <w:p w14:paraId="616CC68A">
            <w:pPr>
              <w:pStyle w:val="5"/>
              <w:spacing w:before="2" w:line="180" w:lineRule="auto"/>
              <w:ind w:left="543" w:right="477" w:hanging="355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拉伸强度，kg-27,000。</w:t>
            </w:r>
          </w:p>
          <w:p w14:paraId="590212D5">
            <w:pPr>
              <w:pStyle w:val="5"/>
              <w:spacing w:before="2" w:line="180" w:lineRule="auto"/>
              <w:ind w:left="543" w:right="477" w:hanging="355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1"/>
                <w:w w:val="95"/>
                <w:position w:val="-5"/>
                <w:sz w:val="24"/>
                <w:szCs w:val="24"/>
              </w:rPr>
              <w:t>环境温度的影响是从-60到+80度。</w:t>
            </w:r>
          </w:p>
        </w:tc>
      </w:tr>
    </w:tbl>
    <w:p w14:paraId="1708F15E">
      <w:pPr>
        <w:rPr>
          <w:rFonts w:ascii="Arial"/>
          <w:sz w:val="21"/>
        </w:rPr>
      </w:pPr>
    </w:p>
    <w:p w14:paraId="2A0CCD00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7" w:h="16839"/>
          <w:pgMar w:top="843" w:right="36" w:bottom="1358" w:left="1589" w:header="267" w:footer="567" w:gutter="0"/>
          <w:cols w:space="720" w:num="1"/>
        </w:sectPr>
      </w:pPr>
    </w:p>
    <w:p w14:paraId="64FC2152">
      <w:pPr>
        <w:spacing w:before="48"/>
      </w:pPr>
    </w:p>
    <w:tbl>
      <w:tblPr>
        <w:tblStyle w:val="4"/>
        <w:tblW w:w="92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235"/>
      </w:tblGrid>
      <w:tr w14:paraId="4B4B9C6F">
        <w:trPr>
          <w:trHeight w:val="4252" w:hRule="atLeast"/>
        </w:trPr>
        <w:tc>
          <w:tcPr>
            <w:tcW w:w="2975" w:type="dxa"/>
            <w:vAlign w:val="top"/>
          </w:tcPr>
          <w:p w14:paraId="071F27BD">
            <w:pPr>
              <w:spacing w:before="159" w:line="3897" w:lineRule="exact"/>
              <w:ind w:firstLine="227"/>
            </w:pPr>
            <w:r>
              <w:rPr>
                <w:position w:val="-77"/>
              </w:rPr>
              <w:drawing>
                <wp:inline distT="0" distB="0" distL="0" distR="0">
                  <wp:extent cx="1683385" cy="2474595"/>
                  <wp:effectExtent l="0" t="0" r="18415" b="14605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70" cy="24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4EBA5AF8">
            <w:pPr>
              <w:pStyle w:val="5"/>
              <w:spacing w:before="47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  <w:t>联轴器联轴器</w:t>
            </w:r>
          </w:p>
          <w:p w14:paraId="7113B2A9">
            <w:pPr>
              <w:pStyle w:val="5"/>
              <w:spacing w:before="47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</w:pPr>
          </w:p>
          <w:p w14:paraId="3F68E830">
            <w:pPr>
              <w:pStyle w:val="5"/>
              <w:spacing w:before="47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  <w:t xml:space="preserve"> 材料:铝合金与机械处理.</w:t>
            </w:r>
          </w:p>
          <w:p w14:paraId="30337E6A">
            <w:pPr>
              <w:pStyle w:val="5"/>
              <w:spacing w:before="47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  <w:t xml:space="preserve"> 他们有与双重螺栓的宽3-4部门钳位。</w:t>
            </w:r>
          </w:p>
          <w:p w14:paraId="593EF652">
            <w:pPr>
              <w:pStyle w:val="5"/>
              <w:spacing w:before="47" w:line="181" w:lineRule="auto"/>
              <w:ind w:left="546" w:right="390" w:hanging="358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5"/>
                <w:w w:val="90"/>
                <w:sz w:val="24"/>
                <w:szCs w:val="24"/>
              </w:rPr>
              <w:t xml:space="preserve"> 由于联轴器可以自由旋转360°，软管不会扭曲。</w:t>
            </w:r>
          </w:p>
        </w:tc>
      </w:tr>
      <w:tr w14:paraId="785ECDF4">
        <w:trPr>
          <w:trHeight w:val="4246" w:hRule="atLeast"/>
        </w:trPr>
        <w:tc>
          <w:tcPr>
            <w:tcW w:w="2975" w:type="dxa"/>
            <w:vAlign w:val="top"/>
          </w:tcPr>
          <w:p w14:paraId="6CF83488">
            <w:pPr>
              <w:spacing w:before="152" w:line="3897" w:lineRule="exact"/>
              <w:ind w:firstLine="227"/>
            </w:pPr>
            <w:r>
              <w:rPr>
                <w:position w:val="-77"/>
              </w:rPr>
              <w:drawing>
                <wp:inline distT="0" distB="0" distL="0" distR="0">
                  <wp:extent cx="1683385" cy="2474595"/>
                  <wp:effectExtent l="0" t="0" r="18415" b="14605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70" cy="24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138613FD">
            <w:pPr>
              <w:pStyle w:val="5"/>
              <w:spacing w:before="50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  <w:t>修理联轴器</w:t>
            </w:r>
          </w:p>
          <w:p w14:paraId="1CB2B6E3">
            <w:pPr>
              <w:pStyle w:val="5"/>
              <w:spacing w:before="50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</w:pPr>
          </w:p>
          <w:p w14:paraId="11D90931">
            <w:pPr>
              <w:pStyle w:val="5"/>
              <w:spacing w:before="50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  <w:t xml:space="preserve"> 材料:铝合金与机械处理.</w:t>
            </w:r>
          </w:p>
          <w:p w14:paraId="487186E6">
            <w:pPr>
              <w:pStyle w:val="5"/>
              <w:spacing w:before="50" w:line="181" w:lineRule="auto"/>
              <w:ind w:left="546" w:right="390" w:hanging="35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  <w:t xml:space="preserve"> 他们有与双重螺栓的宽3-4部门钳位。</w:t>
            </w:r>
          </w:p>
          <w:p w14:paraId="776B1C43">
            <w:pPr>
              <w:pStyle w:val="5"/>
              <w:spacing w:before="50" w:line="181" w:lineRule="auto"/>
              <w:ind w:left="546" w:right="390" w:hanging="358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8"/>
                <w:w w:val="92"/>
                <w:sz w:val="24"/>
                <w:szCs w:val="24"/>
              </w:rPr>
              <w:t xml:space="preserve"> 由于联轴器可以自由旋转360°，软管不会扭曲。</w:t>
            </w:r>
          </w:p>
        </w:tc>
      </w:tr>
      <w:tr w14:paraId="0397C1E6">
        <w:trPr>
          <w:trHeight w:val="4261" w:hRule="atLeast"/>
        </w:trPr>
        <w:tc>
          <w:tcPr>
            <w:tcW w:w="2975" w:type="dxa"/>
            <w:vAlign w:val="top"/>
          </w:tcPr>
          <w:p w14:paraId="044FA504">
            <w:pPr>
              <w:spacing w:before="159" w:line="3897" w:lineRule="exact"/>
              <w:ind w:firstLine="227"/>
            </w:pPr>
            <w:r>
              <w:rPr>
                <w:position w:val="-77"/>
              </w:rPr>
              <w:drawing>
                <wp:inline distT="0" distB="0" distL="0" distR="0">
                  <wp:extent cx="1683385" cy="2474595"/>
                  <wp:effectExtent l="0" t="0" r="18415" b="14605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70" cy="247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0F067C4E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>安装中耕机喷油器8.3米，6英寸树干，15条腿</w:t>
            </w:r>
          </w:p>
          <w:p w14:paraId="5932376A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>单安装喷油器框架，带有牵引框架，用于第三类3点悬架</w:t>
            </w:r>
          </w:p>
          <w:p w14:paraId="080F6273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>用于安装流量计的插入件</w:t>
            </w:r>
          </w:p>
          <w:p w14:paraId="496D7048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 xml:space="preserve"> 尖头耕爪-15个</w:t>
            </w:r>
          </w:p>
          <w:p w14:paraId="457B7E9C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 xml:space="preserve"> 展开-折叠驱动的类型是水力从拖曳的拖拉机</w:t>
            </w:r>
          </w:p>
          <w:p w14:paraId="6C8A6954">
            <w:pPr>
              <w:pStyle w:val="5"/>
              <w:spacing w:before="1" w:line="176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 xml:space="preserve"> 运输速度-不超过20公里/小时</w:t>
            </w:r>
          </w:p>
          <w:p w14:paraId="549A3678">
            <w:pPr>
              <w:pStyle w:val="5"/>
              <w:spacing w:before="1" w:line="176" w:lineRule="auto"/>
              <w:ind w:left="188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19"/>
                <w:w w:val="92"/>
                <w:sz w:val="24"/>
                <w:szCs w:val="24"/>
              </w:rPr>
              <w:t>耦合装置-3/3N型三点连接</w:t>
            </w:r>
          </w:p>
        </w:tc>
      </w:tr>
    </w:tbl>
    <w:p w14:paraId="383F7B00">
      <w:pPr>
        <w:rPr>
          <w:rFonts w:ascii="Arial"/>
          <w:sz w:val="21"/>
        </w:rPr>
      </w:pPr>
    </w:p>
    <w:p w14:paraId="4BCB9C1F"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pgSz w:w="11907" w:h="16839"/>
          <w:pgMar w:top="843" w:right="36" w:bottom="1358" w:left="1589" w:header="267" w:footer="567" w:gutter="0"/>
          <w:cols w:space="720" w:num="1"/>
        </w:sectPr>
      </w:pPr>
    </w:p>
    <w:p w14:paraId="4F53C7FF">
      <w:pPr>
        <w:spacing w:before="48"/>
      </w:pPr>
    </w:p>
    <w:tbl>
      <w:tblPr>
        <w:tblStyle w:val="4"/>
        <w:tblW w:w="9210" w:type="dxa"/>
        <w:tblInd w:w="10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235"/>
      </w:tblGrid>
      <w:tr w14:paraId="70693F28">
        <w:trPr>
          <w:trHeight w:val="3403" w:hRule="atLeast"/>
        </w:trPr>
        <w:tc>
          <w:tcPr>
            <w:tcW w:w="2975" w:type="dxa"/>
            <w:vAlign w:val="top"/>
          </w:tcPr>
          <w:p w14:paraId="7744FBEC">
            <w:pPr>
              <w:spacing w:before="41" w:line="3340" w:lineRule="exact"/>
              <w:ind w:firstLine="167"/>
            </w:pPr>
            <w:r>
              <w:rPr>
                <w:position w:val="-66"/>
              </w:rPr>
              <w:drawing>
                <wp:inline distT="0" distB="0" distL="0" distR="0">
                  <wp:extent cx="1724660" cy="2120900"/>
                  <wp:effectExtent l="0" t="0" r="2540" b="1270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732" cy="212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  <w:vAlign w:val="top"/>
          </w:tcPr>
          <w:p w14:paraId="50FCD0AD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>生物流电磁流量计</w:t>
            </w:r>
          </w:p>
          <w:p w14:paraId="5D5B719E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 xml:space="preserve"> 流动部分的直径为6"（152mm）</w:t>
            </w:r>
          </w:p>
          <w:p w14:paraId="69734F40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>电磁流量计</w:t>
            </w:r>
          </w:p>
          <w:p w14:paraId="6DE18D18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 xml:space="preserve"> 它安装在应用程序主体上。</w:t>
            </w:r>
          </w:p>
          <w:p w14:paraId="131175AF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 xml:space="preserve"> 拖拉机舱内的远程显示。</w:t>
            </w:r>
          </w:p>
          <w:p w14:paraId="5A7A0BD1">
            <w:pPr>
              <w:pStyle w:val="5"/>
              <w:spacing w:before="54" w:line="178" w:lineRule="auto"/>
              <w:ind w:left="188"/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 xml:space="preserve"> 适应症：瞬时流量，总流量，流体流量，当前日期</w:t>
            </w:r>
          </w:p>
          <w:p w14:paraId="5BE7DB79">
            <w:pPr>
              <w:pStyle w:val="5"/>
              <w:spacing w:before="54" w:line="178" w:lineRule="auto"/>
              <w:ind w:left="188"/>
            </w:pPr>
            <w:r>
              <w:rPr>
                <w:rFonts w:hint="default" w:ascii="PingFang SC" w:hAnsi="PingFang SC" w:eastAsia="PingFang SC" w:cs="PingFang SC"/>
                <w:b/>
                <w:bCs/>
                <w:color w:val="auto"/>
                <w:spacing w:val="-20"/>
                <w:w w:val="93"/>
                <w:sz w:val="24"/>
                <w:szCs w:val="24"/>
              </w:rPr>
              <w:t>电源电压-12V</w:t>
            </w:r>
          </w:p>
        </w:tc>
      </w:tr>
    </w:tbl>
    <w:p w14:paraId="6E2F5114">
      <w:pPr>
        <w:spacing w:line="260" w:lineRule="auto"/>
        <w:rPr>
          <w:rFonts w:ascii="Arial"/>
          <w:sz w:val="21"/>
        </w:rPr>
      </w:pPr>
    </w:p>
    <w:p w14:paraId="0F171C11">
      <w:pPr>
        <w:spacing w:line="260" w:lineRule="auto"/>
        <w:rPr>
          <w:rFonts w:ascii="Arial"/>
          <w:sz w:val="21"/>
        </w:rPr>
      </w:pPr>
    </w:p>
    <w:p w14:paraId="390A3C22">
      <w:pPr>
        <w:spacing w:before="43" w:line="212" w:lineRule="auto"/>
        <w:ind w:left="365"/>
        <w:rPr>
          <w:rFonts w:ascii="Georgia" w:hAnsi="Georgia" w:eastAsia="Georgia" w:cs="Georgia"/>
          <w:sz w:val="24"/>
          <w:szCs w:val="24"/>
        </w:rPr>
      </w:pPr>
    </w:p>
    <w:p w14:paraId="267F8CC0"/>
    <w:sectPr>
      <w:headerReference r:id="rId9" w:type="default"/>
      <w:footerReference r:id="rId10" w:type="default"/>
      <w:pgSz w:w="11907" w:h="16839"/>
      <w:pgMar w:top="843" w:right="36" w:bottom="1358" w:left="920" w:header="267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E3456">
    <w:pPr>
      <w:spacing w:after="238" w:line="88" w:lineRule="exact"/>
      <w:ind w:firstLine="83"/>
    </w:pPr>
  </w:p>
  <w:p w14:paraId="42890E4C">
    <w:pPr>
      <w:spacing w:before="1" w:line="214" w:lineRule="auto"/>
      <w:ind w:right="3198"/>
      <w:rPr>
        <w:rFonts w:ascii="Arial" w:hAnsi="Arial" w:eastAsia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0599B">
    <w:pPr>
      <w:spacing w:after="238" w:line="88" w:lineRule="exact"/>
      <w:ind w:firstLine="752"/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5741035</wp:posOffset>
          </wp:positionH>
          <wp:positionV relativeFrom="page">
            <wp:posOffset>10023475</wp:posOffset>
          </wp:positionV>
          <wp:extent cx="1184910" cy="305435"/>
          <wp:effectExtent l="0" t="0" r="8890" b="24765"/>
          <wp:wrapNone/>
          <wp:docPr id="40" name="IM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4909" cy="305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1"/>
      </w:rPr>
      <mc:AlternateContent>
        <mc:Choice Requires="wps">
          <w:drawing>
            <wp:inline distT="0" distB="0" distL="114300" distR="114300">
              <wp:extent cx="5888355" cy="56515"/>
              <wp:effectExtent l="0" t="0" r="4445" b="19685"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88355" cy="5651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73" h="89">
                            <a:moveTo>
                              <a:pt x="0" y="88"/>
                            </a:moveTo>
                            <a:lnTo>
                              <a:pt x="9272" y="88"/>
                            </a:lnTo>
                            <a:lnTo>
                              <a:pt x="9272" y="28"/>
                            </a:lnTo>
                            <a:lnTo>
                              <a:pt x="0" y="28"/>
                            </a:lnTo>
                            <a:lnTo>
                              <a:pt x="0" y="88"/>
                            </a:lnTo>
                            <a:close/>
                          </a:path>
                          <a:path w="9273" h="89">
                            <a:moveTo>
                              <a:pt x="0" y="14"/>
                            </a:moveTo>
                            <a:lnTo>
                              <a:pt x="9272" y="14"/>
                            </a:lnTo>
                            <a:lnTo>
                              <a:pt x="9272" y="0"/>
                            </a:ln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100" style="height:4.45pt;width:463.65pt;" fillcolor="#000000" filled="t" stroked="f" coordsize="9273,89" o:gfxdata="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anTRjVAAAAAwEAAA8A&#10;AAAAAAAAAQAgAAAAIgAAAGRycy9kb3ducmV2LnhtbFBLAQIUABQAAAAIAIdO4kBQQyNmGgIAAGQF&#10;AAAOAAAAAAAAAAEAIAAAACQBAABkcnMvZTJvRG9jLnhtbFBLBQYAAAAABgAGAFkBAACwBQAAAAA=&#10;" path="m0,88l9272,88,9272,28,0,28,0,88xem0,14l9272,14,9272,0,0,0,0,14xe">
              <v:fill on="t" focussize="0,0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  <w:p w14:paraId="2FA38DC7">
    <w:pPr>
      <w:spacing w:before="1" w:line="214" w:lineRule="auto"/>
      <w:ind w:left="786" w:right="3198" w:firstLine="18"/>
      <w:rPr>
        <w:rFonts w:ascii="Arial" w:hAnsi="Arial" w:eastAsia="Arial" w:cs="Arial"/>
        <w:sz w:val="22"/>
        <w:szCs w:val="22"/>
      </w:rPr>
    </w:pPr>
    <w:r>
      <w:rPr>
        <w:rFonts w:ascii="Arial" w:hAnsi="Arial" w:eastAsia="Arial" w:cs="Arial"/>
        <w:spacing w:val="-2"/>
        <w:sz w:val="22"/>
        <w:szCs w:val="22"/>
      </w:rPr>
      <w:t>105318,</w:t>
    </w:r>
    <w:r>
      <w:rPr>
        <w:rFonts w:ascii="Arial" w:hAnsi="Arial" w:eastAsia="Arial" w:cs="Arial"/>
        <w:spacing w:val="19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>Москва ул</w:t>
    </w:r>
    <w:r>
      <w:rPr>
        <w:rFonts w:ascii="Arial" w:hAnsi="Arial" w:eastAsia="Arial" w:cs="Arial"/>
        <w:spacing w:val="-41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>.</w:t>
    </w:r>
    <w:r>
      <w:rPr>
        <w:rFonts w:ascii="Arial" w:hAnsi="Arial" w:eastAsia="Arial" w:cs="Arial"/>
        <w:spacing w:val="18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>Ибрагимова, д</w:t>
    </w:r>
    <w:r>
      <w:rPr>
        <w:rFonts w:ascii="Arial" w:hAnsi="Arial" w:eastAsia="Arial" w:cs="Arial"/>
        <w:spacing w:val="-43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>.31,</w:t>
    </w:r>
    <w:r>
      <w:rPr>
        <w:rFonts w:ascii="Arial" w:hAnsi="Arial" w:eastAsia="Arial" w:cs="Arial"/>
        <w:spacing w:val="14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>корп</w:t>
    </w:r>
    <w:r>
      <w:rPr>
        <w:rFonts w:ascii="Arial" w:hAnsi="Arial" w:eastAsia="Arial" w:cs="Arial"/>
        <w:spacing w:val="-43"/>
        <w:sz w:val="22"/>
        <w:szCs w:val="22"/>
      </w:rPr>
      <w:t xml:space="preserve"> </w:t>
    </w:r>
    <w:r>
      <w:rPr>
        <w:rFonts w:ascii="Arial" w:hAnsi="Arial" w:eastAsia="Arial" w:cs="Arial"/>
        <w:spacing w:val="-2"/>
        <w:sz w:val="22"/>
        <w:szCs w:val="22"/>
      </w:rPr>
      <w:t xml:space="preserve">. 47  </w:t>
    </w:r>
    <w:r>
      <w:fldChar w:fldCharType="begin"/>
    </w:r>
    <w:r>
      <w:instrText xml:space="preserve"> HYPERLINK "info@biokompleks.ru" </w:instrText>
    </w:r>
    <w:r>
      <w:fldChar w:fldCharType="separate"/>
    </w:r>
    <w:r>
      <w:rPr>
        <w:rFonts w:ascii="Arial" w:hAnsi="Arial" w:eastAsia="Arial" w:cs="Arial"/>
        <w:color w:val="0000FF"/>
        <w:spacing w:val="-2"/>
        <w:sz w:val="22"/>
        <w:szCs w:val="22"/>
        <w:u w:val="single" w:color="auto"/>
      </w:rPr>
      <w:t>info@biokompleks</w:t>
    </w:r>
    <w:r>
      <w:rPr>
        <w:rFonts w:ascii="Arial" w:hAnsi="Arial" w:eastAsia="Arial" w:cs="Arial"/>
        <w:color w:val="0000FF"/>
        <w:spacing w:val="-3"/>
        <w:sz w:val="22"/>
        <w:szCs w:val="22"/>
        <w:u w:val="single" w:color="auto"/>
      </w:rPr>
      <w:t>.ru</w:t>
    </w:r>
    <w:r>
      <w:rPr>
        <w:rFonts w:ascii="Arial" w:hAnsi="Arial" w:eastAsia="Arial" w:cs="Arial"/>
        <w:color w:val="0000FF"/>
        <w:spacing w:val="-3"/>
        <w:sz w:val="22"/>
        <w:szCs w:val="22"/>
        <w:u w:val="single" w:color="auto"/>
      </w:rPr>
      <w:fldChar w:fldCharType="end"/>
    </w:r>
    <w:r>
      <w:rPr>
        <w:rFonts w:ascii="Arial" w:hAnsi="Arial" w:eastAsia="Arial" w:cs="Arial"/>
        <w:color w:val="0000FF"/>
        <w:sz w:val="22"/>
        <w:szCs w:val="22"/>
      </w:rPr>
      <w:t xml:space="preserve"> </w:t>
    </w:r>
    <w:r>
      <w:rPr>
        <w:rFonts w:ascii="Arial" w:hAnsi="Arial" w:eastAsia="Arial" w:cs="Arial"/>
        <w:sz w:val="22"/>
        <w:szCs w:val="22"/>
      </w:rPr>
      <w:t>Тел</w:t>
    </w:r>
    <w:r>
      <w:rPr>
        <w:rFonts w:ascii="Arial" w:hAnsi="Arial" w:eastAsia="Arial" w:cs="Arial"/>
        <w:spacing w:val="-40"/>
        <w:sz w:val="22"/>
        <w:szCs w:val="22"/>
      </w:rPr>
      <w:t xml:space="preserve"> </w:t>
    </w:r>
    <w:r>
      <w:rPr>
        <w:rFonts w:ascii="Arial" w:hAnsi="Arial" w:eastAsia="Arial" w:cs="Arial"/>
        <w:sz w:val="22"/>
        <w:szCs w:val="22"/>
      </w:rPr>
      <w:t xml:space="preserve">./факс: +7(495) 287-45-88                           </w:t>
    </w:r>
    <w:r>
      <w:rPr>
        <w:rFonts w:ascii="Arial" w:hAnsi="Arial" w:eastAsia="Arial" w:cs="Arial"/>
        <w:spacing w:val="-1"/>
        <w:sz w:val="22"/>
        <w:szCs w:val="22"/>
      </w:rPr>
      <w:t xml:space="preserve">     </w:t>
    </w:r>
    <w:r>
      <w:fldChar w:fldCharType="begin"/>
    </w:r>
    <w:r>
      <w:instrText xml:space="preserve"> HYPERLINK "https://www.Biokompleks.ru" </w:instrText>
    </w:r>
    <w:r>
      <w:fldChar w:fldCharType="separate"/>
    </w:r>
    <w:r>
      <w:rPr>
        <w:rFonts w:ascii="Arial" w:hAnsi="Arial" w:eastAsia="Arial" w:cs="Arial"/>
        <w:color w:val="0000FF"/>
        <w:spacing w:val="-1"/>
        <w:sz w:val="22"/>
        <w:szCs w:val="22"/>
        <w:u w:val="single" w:color="auto"/>
      </w:rPr>
      <w:t>www.Biokompleks.ru</w:t>
    </w:r>
    <w:r>
      <w:rPr>
        <w:rFonts w:ascii="Arial" w:hAnsi="Arial" w:eastAsia="Arial" w:cs="Arial"/>
        <w:color w:val="0000FF"/>
        <w:spacing w:val="-1"/>
        <w:sz w:val="22"/>
        <w:szCs w:val="22"/>
        <w:u w:val="single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27A48">
    <w:pPr>
      <w:spacing w:line="565" w:lineRule="exact"/>
      <w:ind w:firstLine="8778"/>
    </w:pPr>
    <w:r>
      <w:rPr>
        <w:position w:val="-12"/>
      </w:rPr>
      <mc:AlternateContent>
        <mc:Choice Requires="wps">
          <w:drawing>
            <wp:inline distT="0" distB="0" distL="114300" distR="114300">
              <wp:extent cx="953770" cy="365760"/>
              <wp:effectExtent l="0" t="0" r="11430" b="1524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770" cy="36576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E4D8D">
                          <w:pPr>
                            <w:spacing w:before="176" w:line="203" w:lineRule="auto"/>
                            <w:ind w:left="433"/>
                            <w:rPr>
                              <w:rFonts w:ascii="PingFang SC" w:hAnsi="PingFang SC" w:eastAsia="PingFang SC" w:cs="PingFang S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ingFang SC" w:hAnsi="PingFang SC" w:eastAsia="PingFang SC" w:cs="PingFang SC"/>
                              <w:b/>
                              <w:bCs/>
                              <w:color w:val="FFFFFF"/>
                              <w:spacing w:val="-3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8pt;width:75.1pt;" fillcolor="#00B050" filled="t" stroked="f" coordsize="21600,21600" o:gfxdata="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GRnnNUAAAAEAQAADwAAAAAAAAABACAAAAAiAAAAZHJzL2Rvd25yZXYueG1sUEsB&#10;AhQAFAAAAAgAh07iQLetDde/AQAAmQMAAA4AAAAAAAAAAQAgAAAAJAEAAGRycy9lMm9Eb2MueG1s&#10;UEsFBgAAAAAGAAYAWQEAAFUFAAAAAA==&#10;">
              <v:fill on="t" focussize="0,0"/>
              <v:stroke on="f"/>
              <v:imagedata o:title=""/>
              <o:lock v:ext="edit" aspectratio="f"/>
              <v:textbox inset="0mm,0mm,0mm,0mm">
                <w:txbxContent>
                  <w:p w14:paraId="568E4D8D">
                    <w:pPr>
                      <w:spacing w:before="176" w:line="203" w:lineRule="auto"/>
                      <w:ind w:left="433"/>
                      <w:rPr>
                        <w:rFonts w:ascii="PingFang SC" w:hAnsi="PingFang SC" w:eastAsia="PingFang SC" w:cs="PingFang SC"/>
                        <w:sz w:val="24"/>
                        <w:szCs w:val="24"/>
                      </w:rPr>
                    </w:pPr>
                    <w:r>
                      <w:rPr>
                        <w:rFonts w:ascii="PingFang SC" w:hAnsi="PingFang SC" w:eastAsia="PingFang SC" w:cs="PingFang SC"/>
                        <w:b/>
                        <w:bCs/>
                        <w:color w:val="FFFFFF"/>
                        <w:spacing w:val="-3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F231E">
    <w:pPr>
      <w:spacing w:line="565" w:lineRule="exact"/>
      <w:ind w:firstLine="8778"/>
    </w:pPr>
    <w:r>
      <w:rPr>
        <w:position w:val="-12"/>
      </w:rPr>
      <mc:AlternateContent>
        <mc:Choice Requires="wps">
          <w:drawing>
            <wp:inline distT="0" distB="0" distL="114300" distR="114300">
              <wp:extent cx="953770" cy="365760"/>
              <wp:effectExtent l="0" t="0" r="11430" b="15240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770" cy="36576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41ECB1">
                          <w:pPr>
                            <w:spacing w:before="177" w:line="204" w:lineRule="auto"/>
                            <w:ind w:left="430"/>
                            <w:rPr>
                              <w:rFonts w:ascii="PingFang SC" w:hAnsi="PingFang SC" w:eastAsia="PingFang SC" w:cs="PingFang S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ingFang SC" w:hAnsi="PingFang SC" w:eastAsia="PingFang SC" w:cs="PingFang SC"/>
                              <w:b/>
                              <w:bCs/>
                              <w:color w:val="FFFFFF"/>
                              <w:spacing w:val="-3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8pt;width:75.1pt;" fillcolor="#00B050" filled="t" stroked="f" coordsize="21600,21600" o:gfxdata="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EZGec1QAAAAQBAAAPAAAAAAAAAAEAIAAAACIAAABkcnMvZG93bnJldi54bWxQSwEC&#10;FAAUAAAACACHTuJA8y39YL4BAACZAwAADgAAAAAAAAABACAAAAAkAQAAZHJzL2Uyb0RvYy54bWxQ&#10;SwUGAAAAAAYABgBZAQAAVAUAAAAA&#10;">
              <v:fill on="t" focussize="0,0"/>
              <v:stroke on="f"/>
              <v:imagedata o:title=""/>
              <o:lock v:ext="edit" aspectratio="f"/>
              <v:textbox inset="0mm,0mm,0mm,0mm">
                <w:txbxContent>
                  <w:p w14:paraId="4D41ECB1">
                    <w:pPr>
                      <w:spacing w:before="177" w:line="204" w:lineRule="auto"/>
                      <w:ind w:left="430"/>
                      <w:rPr>
                        <w:rFonts w:ascii="PingFang SC" w:hAnsi="PingFang SC" w:eastAsia="PingFang SC" w:cs="PingFang SC"/>
                        <w:sz w:val="24"/>
                        <w:szCs w:val="24"/>
                      </w:rPr>
                    </w:pPr>
                    <w:r>
                      <w:rPr>
                        <w:rFonts w:ascii="PingFang SC" w:hAnsi="PingFang SC" w:eastAsia="PingFang SC" w:cs="PingFang SC"/>
                        <w:b/>
                        <w:bCs/>
                        <w:color w:val="FFFFFF"/>
                        <w:spacing w:val="-3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69B14">
    <w:pPr>
      <w:spacing w:line="565" w:lineRule="exact"/>
      <w:ind w:firstLine="8778"/>
    </w:pPr>
    <w:r>
      <w:rPr>
        <w:position w:val="-12"/>
      </w:rPr>
      <mc:AlternateContent>
        <mc:Choice Requires="wps">
          <w:drawing>
            <wp:inline distT="0" distB="0" distL="114300" distR="114300">
              <wp:extent cx="953770" cy="365760"/>
              <wp:effectExtent l="0" t="0" r="11430" b="15240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770" cy="36576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7D3FD8">
                          <w:pPr>
                            <w:spacing w:before="176" w:line="203" w:lineRule="auto"/>
                            <w:ind w:left="435"/>
                            <w:rPr>
                              <w:rFonts w:ascii="PingFang SC" w:hAnsi="PingFang SC" w:eastAsia="PingFang SC" w:cs="PingFang S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ingFang SC" w:hAnsi="PingFang SC" w:eastAsia="PingFang SC" w:cs="PingFang SC"/>
                              <w:b/>
                              <w:bCs/>
                              <w:color w:val="FFFFFF"/>
                              <w:spacing w:val="-3"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8pt;width:75.1pt;" fillcolor="#00B050" filled="t" stroked="f" coordsize="21600,21600" o:gfxdata="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RkZ5zVAAAABAEAAA8AAAAAAAAAAQAgAAAAIgAAAGRycy9kb3ducmV2LnhtbFBL&#10;AQIUABQAAAAIAIdO4kAYa5WPwAEAAJkDAAAOAAAAAAAAAAEAIAAAACQBAABkcnMvZTJvRG9jLnht&#10;bFBLBQYAAAAABgAGAFkBAABWBQAAAAA=&#10;">
              <v:fill on="t" focussize="0,0"/>
              <v:stroke on="f"/>
              <v:imagedata o:title=""/>
              <o:lock v:ext="edit" aspectratio="f"/>
              <v:textbox inset="0mm,0mm,0mm,0mm">
                <w:txbxContent>
                  <w:p w14:paraId="2E7D3FD8">
                    <w:pPr>
                      <w:spacing w:before="176" w:line="203" w:lineRule="auto"/>
                      <w:ind w:left="435"/>
                      <w:rPr>
                        <w:rFonts w:ascii="PingFang SC" w:hAnsi="PingFang SC" w:eastAsia="PingFang SC" w:cs="PingFang SC"/>
                        <w:sz w:val="24"/>
                        <w:szCs w:val="24"/>
                      </w:rPr>
                    </w:pPr>
                    <w:r>
                      <w:rPr>
                        <w:rFonts w:ascii="PingFang SC" w:hAnsi="PingFang SC" w:eastAsia="PingFang SC" w:cs="PingFang SC"/>
                        <w:b/>
                        <w:bCs/>
                        <w:color w:val="FFFFFF"/>
                        <w:spacing w:val="-3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CABD2">
    <w:pPr>
      <w:spacing w:line="565" w:lineRule="exact"/>
      <w:ind w:firstLine="9447"/>
    </w:pPr>
    <w:r>
      <w:rPr>
        <w:position w:val="-12"/>
      </w:rPr>
      <mc:AlternateContent>
        <mc:Choice Requires="wps">
          <w:drawing>
            <wp:inline distT="0" distB="0" distL="114300" distR="114300">
              <wp:extent cx="953770" cy="365760"/>
              <wp:effectExtent l="0" t="0" r="11430" b="15240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770" cy="36576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A3F8A3">
                          <w:pPr>
                            <w:spacing w:before="177" w:line="204" w:lineRule="auto"/>
                            <w:ind w:left="432"/>
                            <w:rPr>
                              <w:rFonts w:ascii="PingFang SC" w:hAnsi="PingFang SC" w:eastAsia="PingFang SC" w:cs="PingFang S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PingFang SC" w:hAnsi="PingFang SC" w:eastAsia="PingFang SC" w:cs="PingFang SC"/>
                              <w:b/>
                              <w:bCs/>
                              <w:color w:val="FFFFFF"/>
                              <w:spacing w:val="-3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8pt;width:75.1pt;" fillcolor="#00B050" filled="t" stroked="f" coordsize="21600,21600" o:gfxdata="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GRnnNUAAAAEAQAADwAAAAAAAAABACAAAAAiAAAAZHJzL2Rvd25yZXYueG1sUEsB&#10;AhQAFAAAAAgAh07iQJXt9Yy/AQAAmQMAAA4AAAAAAAAAAQAgAAAAJAEAAGRycy9lMm9Eb2MueG1s&#10;UEsFBgAAAAAGAAYAWQEAAFUFAAAAAA==&#10;">
              <v:fill on="t" focussize="0,0"/>
              <v:stroke on="f"/>
              <v:imagedata o:title=""/>
              <o:lock v:ext="edit" aspectratio="f"/>
              <v:textbox inset="0mm,0mm,0mm,0mm">
                <w:txbxContent>
                  <w:p w14:paraId="02A3F8A3">
                    <w:pPr>
                      <w:spacing w:before="177" w:line="204" w:lineRule="auto"/>
                      <w:ind w:left="432"/>
                      <w:rPr>
                        <w:rFonts w:ascii="PingFang SC" w:hAnsi="PingFang SC" w:eastAsia="PingFang SC" w:cs="PingFang SC"/>
                        <w:sz w:val="24"/>
                        <w:szCs w:val="24"/>
                      </w:rPr>
                    </w:pPr>
                    <w:r>
                      <w:rPr>
                        <w:rFonts w:ascii="PingFang SC" w:hAnsi="PingFang SC" w:eastAsia="PingFang SC" w:cs="PingFang SC"/>
                        <w:b/>
                        <w:bCs/>
                        <w:color w:val="FFFFFF"/>
                        <w:spacing w:val="-3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7D064D"/>
    <w:rsid w:val="F27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2026-08-12T10:20:00Z</dcterms:created>
  <dc:creator>TKM</dc:creator>
  <cp:lastModifiedBy>TKM</cp:lastModifiedBy>
  <dcterms:modified xsi:type="dcterms:W3CDTF">2026-08-12T10:39:10Z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1033-12.1.25895.25895</vt:lpwstr>
  </property>
  <property fmtid="{D5CDD505-2E9C-101B-9397-08002B2CF9AE}" pid="3" name="ICV">
    <vt:lpwstr>A95E20CB7F69E87F57D87B6A3E0ADAF6_41</vt:lpwstr>
  </property>
</Properties>
</file>